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Times New Roman"/>
          <w:kern w:val="2"/>
          <w:sz w:val="44"/>
          <w:lang w:val="zh-CN"/>
        </w:rPr>
      </w:pPr>
    </w:p>
    <w:p>
      <w:pPr>
        <w:spacing w:line="580" w:lineRule="exact"/>
        <w:jc w:val="center"/>
        <w:rPr>
          <w:rFonts w:eastAsia="Times New Roman"/>
          <w:kern w:val="2"/>
          <w:sz w:val="44"/>
          <w:lang w:val="zh-CN"/>
        </w:rPr>
      </w:pPr>
    </w:p>
    <w:p>
      <w:pPr>
        <w:spacing w:line="580" w:lineRule="exact"/>
        <w:jc w:val="center"/>
        <w:rPr>
          <w:rFonts w:eastAsia="Times New Roman"/>
          <w:kern w:val="2"/>
          <w:sz w:val="44"/>
          <w:lang w:val="zh-CN"/>
        </w:rPr>
      </w:pPr>
    </w:p>
    <w:p>
      <w:pPr>
        <w:spacing w:line="580" w:lineRule="exact"/>
        <w:jc w:val="center"/>
        <w:rPr>
          <w:rFonts w:eastAsia="Times New Roman"/>
          <w:kern w:val="2"/>
          <w:sz w:val="44"/>
          <w:lang w:val="zh-CN"/>
        </w:rPr>
      </w:pPr>
    </w:p>
    <w:p>
      <w:pPr>
        <w:spacing w:line="580" w:lineRule="exact"/>
        <w:jc w:val="center"/>
        <w:rPr>
          <w:rFonts w:ascii="方正小标宋简体" w:hAnsi="方正小标宋简体" w:eastAsia="方正小标宋简体"/>
          <w:sz w:val="48"/>
          <w:lang w:val="zh-CN"/>
        </w:rPr>
      </w:pPr>
    </w:p>
    <w:p>
      <w:pPr>
        <w:spacing w:line="580" w:lineRule="exact"/>
        <w:jc w:val="center"/>
        <w:rPr>
          <w:rFonts w:ascii="方正小标宋简体" w:hAnsi="方正小标宋简体" w:eastAsia="方正小标宋简体"/>
          <w:sz w:val="48"/>
          <w:lang w:val="zh-CN"/>
        </w:rPr>
      </w:pPr>
    </w:p>
    <w:p>
      <w:pPr>
        <w:spacing w:line="580" w:lineRule="exact"/>
        <w:jc w:val="center"/>
        <w:rPr>
          <w:rFonts w:ascii="方正小标宋简体" w:hAnsi="方正小标宋简体" w:eastAsia="方正小标宋简体"/>
          <w:sz w:val="48"/>
          <w:lang w:val="zh-CN"/>
        </w:rPr>
      </w:pPr>
    </w:p>
    <w:p>
      <w:pPr>
        <w:spacing w:line="580" w:lineRule="exact"/>
        <w:jc w:val="center"/>
        <w:rPr>
          <w:rFonts w:ascii="方正小标宋简体" w:hAnsi="方正小标宋简体" w:eastAsia="方正小标宋简体"/>
          <w:sz w:val="48"/>
          <w:lang w:val="zh-CN"/>
        </w:rPr>
      </w:pPr>
    </w:p>
    <w:p>
      <w:pPr>
        <w:spacing w:line="580" w:lineRule="exact"/>
        <w:jc w:val="center"/>
        <w:rPr>
          <w:rFonts w:ascii="黑体" w:hAnsi="黑体" w:eastAsia="黑体"/>
          <w:kern w:val="2"/>
          <w:sz w:val="44"/>
          <w:lang w:val="zh-CN"/>
        </w:rPr>
      </w:pPr>
      <w:r>
        <w:rPr>
          <w:rFonts w:hint="eastAsia" w:ascii="方正小标宋简体" w:hAnsi="方正小标宋简体" w:eastAsia="方正小标宋简体"/>
          <w:sz w:val="48"/>
          <w:lang w:val="zh-CN"/>
        </w:rPr>
        <w:t>天津工艺美术职业学院</w:t>
      </w:r>
    </w:p>
    <w:p>
      <w:pPr>
        <w:spacing w:line="580" w:lineRule="exact"/>
        <w:jc w:val="center"/>
        <w:rPr>
          <w:rFonts w:ascii="黑体" w:hAnsi="黑体" w:eastAsia="黑体"/>
          <w:kern w:val="2"/>
          <w:sz w:val="30"/>
        </w:rPr>
      </w:pPr>
      <w:r>
        <w:rPr>
          <w:rFonts w:hint="eastAsia" w:ascii="方正小标宋简体" w:hAnsi="方正小标宋简体" w:eastAsia="方正小标宋简体"/>
          <w:sz w:val="48"/>
          <w:lang w:val="zh-CN"/>
        </w:rPr>
        <w:t>2024年单位预算</w:t>
      </w: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both"/>
        <w:rPr>
          <w:rFonts w:ascii="黑体" w:hAnsi="黑体" w:eastAsia="黑体"/>
          <w:kern w:val="2"/>
          <w:sz w:val="30"/>
        </w:rPr>
      </w:pPr>
    </w:p>
    <w:p>
      <w:pPr>
        <w:spacing w:line="580" w:lineRule="exact"/>
        <w:jc w:val="center"/>
        <w:rPr>
          <w:rFonts w:ascii="黑体" w:hAnsi="黑体" w:eastAsia="黑体"/>
          <w:kern w:val="2"/>
          <w:sz w:val="30"/>
        </w:rPr>
      </w:pPr>
    </w:p>
    <w:p>
      <w:pPr>
        <w:spacing w:line="580" w:lineRule="exact"/>
        <w:jc w:val="center"/>
        <w:rPr>
          <w:rFonts w:ascii="黑体" w:hAnsi="黑体" w:eastAsia="黑体"/>
          <w:kern w:val="2"/>
          <w:sz w:val="44"/>
        </w:rPr>
      </w:pPr>
    </w:p>
    <w:p>
      <w:pPr>
        <w:spacing w:line="600" w:lineRule="exact"/>
        <w:jc w:val="center"/>
        <w:rPr>
          <w:rFonts w:ascii="黑体" w:hAnsi="黑体" w:eastAsia="黑体"/>
          <w:kern w:val="2"/>
          <w:sz w:val="44"/>
        </w:rPr>
        <w:sectPr>
          <w:pgSz w:w="12240" w:h="15840"/>
          <w:pgMar w:top="1440" w:right="1800" w:bottom="1440" w:left="1800" w:header="720" w:footer="720" w:gutter="0"/>
          <w:cols w:space="720" w:num="1"/>
        </w:sectPr>
      </w:pPr>
    </w:p>
    <w:p>
      <w:pPr>
        <w:spacing w:line="600" w:lineRule="exact"/>
        <w:jc w:val="center"/>
        <w:rPr>
          <w:rFonts w:ascii="黑体" w:hAnsi="黑体" w:eastAsia="黑体"/>
          <w:kern w:val="2"/>
          <w:sz w:val="44"/>
        </w:rPr>
      </w:pPr>
      <w:r>
        <w:rPr>
          <w:rFonts w:hint="eastAsia" w:ascii="黑体" w:hAnsi="黑体" w:eastAsia="黑体"/>
          <w:kern w:val="2"/>
          <w:sz w:val="44"/>
        </w:rPr>
        <w:t>目   录</w:t>
      </w:r>
    </w:p>
    <w:p>
      <w:pPr>
        <w:keepNext/>
        <w:keepLines/>
        <w:spacing w:line="600" w:lineRule="exact"/>
        <w:jc w:val="center"/>
        <w:rPr>
          <w:rFonts w:ascii="黑体" w:hAnsi="黑体" w:eastAsia="黑体"/>
          <w:kern w:val="2"/>
          <w:sz w:val="30"/>
        </w:rPr>
      </w:pPr>
    </w:p>
    <w:p>
      <w:pPr>
        <w:spacing w:line="600" w:lineRule="exact"/>
        <w:jc w:val="both"/>
        <w:rPr>
          <w:rFonts w:ascii="仿宋_GB2312" w:hAnsi="仿宋_GB2312" w:eastAsia="仿宋_GB2312"/>
          <w:b/>
          <w:kern w:val="2"/>
          <w:sz w:val="30"/>
        </w:rPr>
      </w:pPr>
      <w:r>
        <w:rPr>
          <w:rFonts w:hint="eastAsia" w:ascii="仿宋_GB2312" w:hAnsi="仿宋_GB2312" w:eastAsia="仿宋_GB2312"/>
          <w:b/>
          <w:kern w:val="2"/>
          <w:sz w:val="30"/>
        </w:rPr>
        <w:t>第一部分  概 况</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一、主要职责</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二、机构设置情况</w:t>
      </w:r>
    </w:p>
    <w:p>
      <w:pPr>
        <w:spacing w:line="600" w:lineRule="exact"/>
        <w:jc w:val="both"/>
        <w:rPr>
          <w:rFonts w:ascii="仿宋_GB2312" w:hAnsi="仿宋_GB2312" w:eastAsia="仿宋_GB2312"/>
          <w:b/>
          <w:kern w:val="2"/>
          <w:sz w:val="30"/>
        </w:rPr>
      </w:pPr>
      <w:r>
        <w:rPr>
          <w:rFonts w:hint="eastAsia" w:ascii="仿宋_GB2312" w:hAnsi="仿宋_GB2312" w:eastAsia="仿宋_GB2312"/>
          <w:b/>
          <w:kern w:val="2"/>
          <w:sz w:val="30"/>
        </w:rPr>
        <w:t>第二部分  2024年单位预算情况说明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一、关于收支总体情况表的说明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二、关于收入总体情况表的说明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三、关于支出总体情况表的说明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四、关于财政拨款收支总体情况表的说明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五、关于一般公共预算支出情况的说明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六、关于一般公共预算基本支出情况表的说明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七、关于一般公共预算“三公”经费支出情况表的说明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八、关于政府性基金预算支出情况表的说明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九、关于国有资本经营预算支出情况表的说明</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十、其他重要事项的情况说明</w:t>
      </w:r>
    </w:p>
    <w:p>
      <w:pPr>
        <w:spacing w:line="600" w:lineRule="exact"/>
        <w:jc w:val="both"/>
        <w:rPr>
          <w:rFonts w:ascii="仿宋_GB2312" w:hAnsi="仿宋_GB2312" w:eastAsia="仿宋_GB2312"/>
          <w:b/>
          <w:kern w:val="2"/>
          <w:sz w:val="30"/>
        </w:rPr>
      </w:pPr>
      <w:r>
        <w:rPr>
          <w:rFonts w:hint="eastAsia" w:ascii="仿宋_GB2312" w:hAnsi="仿宋_GB2312" w:eastAsia="仿宋_GB2312"/>
          <w:b/>
          <w:kern w:val="2"/>
          <w:sz w:val="30"/>
        </w:rPr>
        <w:t>第三部分  名词解释</w:t>
      </w:r>
    </w:p>
    <w:p>
      <w:pPr>
        <w:spacing w:line="600" w:lineRule="exact"/>
        <w:jc w:val="both"/>
        <w:rPr>
          <w:rFonts w:ascii="仿宋_GB2312" w:hAnsi="仿宋_GB2312" w:eastAsia="仿宋_GB2312"/>
          <w:b/>
          <w:kern w:val="2"/>
          <w:sz w:val="30"/>
        </w:rPr>
      </w:pPr>
      <w:r>
        <w:rPr>
          <w:rFonts w:hint="eastAsia" w:ascii="仿宋_GB2312" w:hAnsi="仿宋_GB2312" w:eastAsia="仿宋_GB2312"/>
          <w:b/>
          <w:kern w:val="2"/>
          <w:sz w:val="30"/>
        </w:rPr>
        <w:t>第四部分  2024年单位预算表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一、收支总体情况表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二、收入总体情况表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三、支出总体情况表</w:t>
      </w:r>
    </w:p>
    <w:p>
      <w:pPr>
        <w:spacing w:line="600" w:lineRule="exact"/>
        <w:jc w:val="both"/>
        <w:rPr>
          <w:rFonts w:ascii="仿宋_GB2312" w:hAnsi="仿宋_GB2312" w:eastAsia="仿宋_GB2312"/>
          <w:kern w:val="2"/>
          <w:sz w:val="30"/>
        </w:rPr>
        <w:sectPr>
          <w:footerReference r:id="rId3" w:type="default"/>
          <w:pgSz w:w="12240" w:h="15840"/>
          <w:pgMar w:top="1440" w:right="1800" w:bottom="1440" w:left="1800" w:header="720" w:footer="720" w:gutter="0"/>
          <w:pgNumType w:start="1"/>
          <w:cols w:space="720" w:num="1"/>
        </w:sectPr>
      </w:pP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四、财政拨款收支总体情况表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五、一般公共预算支出情况表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六、一般公共预算基本支出情况表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七、一般公共预算“三公”经费支出情况表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八、政府性基金预算支出情况表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九、国有资本经营预算支出情况表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十、项目支出表</w:t>
      </w:r>
    </w:p>
    <w:p>
      <w:pPr>
        <w:spacing w:line="600" w:lineRule="exact"/>
        <w:jc w:val="both"/>
        <w:rPr>
          <w:rFonts w:ascii="仿宋_GB2312" w:hAnsi="仿宋_GB2312" w:eastAsia="仿宋_GB2312"/>
          <w:kern w:val="2"/>
          <w:sz w:val="30"/>
        </w:rPr>
      </w:pPr>
      <w:r>
        <w:rPr>
          <w:rFonts w:hint="eastAsia" w:ascii="仿宋_GB2312" w:hAnsi="仿宋_GB2312" w:eastAsia="仿宋_GB2312"/>
          <w:kern w:val="2"/>
          <w:sz w:val="30"/>
        </w:rPr>
        <w:t>十一、关于空表的说明</w:t>
      </w:r>
      <w:r>
        <w:rPr>
          <w:rFonts w:hint="eastAsia" w:ascii="仿宋_GB2312" w:hAnsi="仿宋_GB2312" w:eastAsia="仿宋_GB2312"/>
          <w:kern w:val="2"/>
          <w:sz w:val="30"/>
        </w:rPr>
        <w:tab/>
      </w: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eastAsia="Times New Roman"/>
          <w:kern w:val="2"/>
          <w:sz w:val="44"/>
          <w:highlight w:val="white"/>
          <w:lang w:val="zh-CN"/>
        </w:rPr>
      </w:pPr>
    </w:p>
    <w:p>
      <w:pPr>
        <w:spacing w:line="580" w:lineRule="exact"/>
        <w:jc w:val="center"/>
        <w:rPr>
          <w:rFonts w:eastAsia="Times New Roman"/>
          <w:kern w:val="2"/>
          <w:sz w:val="44"/>
          <w:highlight w:val="white"/>
          <w:lang w:val="zh-CN"/>
        </w:rPr>
      </w:pPr>
    </w:p>
    <w:p>
      <w:pPr>
        <w:spacing w:line="580" w:lineRule="exact"/>
        <w:jc w:val="center"/>
        <w:rPr>
          <w:rFonts w:eastAsia="Times New Roman"/>
          <w:kern w:val="2"/>
          <w:sz w:val="44"/>
          <w:highlight w:val="white"/>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黑体" w:hAnsi="黑体" w:eastAsia="黑体"/>
          <w:kern w:val="2"/>
          <w:sz w:val="30"/>
          <w:lang w:val="zh-CN"/>
        </w:rPr>
      </w:pPr>
    </w:p>
    <w:p>
      <w:pPr>
        <w:spacing w:line="580" w:lineRule="exact"/>
        <w:jc w:val="center"/>
        <w:rPr>
          <w:rFonts w:ascii="方正小标宋简体" w:hAnsi="方正小标宋简体" w:eastAsia="方正小标宋简体"/>
          <w:b/>
          <w:kern w:val="44"/>
          <w:sz w:val="44"/>
        </w:rPr>
        <w:sectPr>
          <w:footerReference r:id="rId4" w:type="default"/>
          <w:pgSz w:w="12240" w:h="15840"/>
          <w:pgMar w:top="1440" w:right="1800" w:bottom="1440" w:left="1800" w:header="720" w:footer="720" w:gutter="0"/>
          <w:pgNumType w:start="1"/>
          <w:cols w:space="720" w:num="1"/>
        </w:sectPr>
      </w:pPr>
    </w:p>
    <w:p>
      <w:pPr>
        <w:spacing w:line="580" w:lineRule="exact"/>
        <w:jc w:val="center"/>
        <w:rPr>
          <w:rFonts w:ascii="方正小标宋简体" w:hAnsi="方正小标宋简体" w:eastAsia="方正小标宋简体"/>
          <w:b/>
          <w:kern w:val="44"/>
          <w:sz w:val="44"/>
        </w:rPr>
      </w:pPr>
    </w:p>
    <w:p>
      <w:pPr>
        <w:spacing w:line="580" w:lineRule="exact"/>
        <w:jc w:val="center"/>
        <w:rPr>
          <w:rFonts w:ascii="黑体" w:hAnsi="黑体" w:eastAsia="黑体"/>
          <w:kern w:val="2"/>
          <w:sz w:val="44"/>
          <w:lang w:val="zh-CN"/>
        </w:rPr>
      </w:pPr>
      <w:r>
        <w:rPr>
          <w:rFonts w:hint="eastAsia" w:ascii="方正小标宋简体" w:hAnsi="方正小标宋简体" w:eastAsia="方正小标宋简体"/>
          <w:b/>
          <w:kern w:val="44"/>
          <w:sz w:val="44"/>
        </w:rPr>
        <w:t>第一部分  概 况</w:t>
      </w:r>
    </w:p>
    <w:p>
      <w:pPr>
        <w:spacing w:line="580" w:lineRule="exact"/>
        <w:ind w:firstLine="480"/>
        <w:jc w:val="both"/>
        <w:rPr>
          <w:rFonts w:eastAsia="Times New Roman"/>
          <w:kern w:val="2"/>
          <w:lang w:val="zh-CN"/>
        </w:rPr>
      </w:pPr>
    </w:p>
    <w:p>
      <w:pPr>
        <w:pStyle w:val="3"/>
        <w:keepNext/>
        <w:keepLines/>
        <w:spacing w:before="260" w:after="260" w:line="600" w:lineRule="exact"/>
        <w:ind w:firstLine="602"/>
        <w:rPr>
          <w:rFonts w:ascii="黑体" w:hAnsi="黑体" w:eastAsia="黑体"/>
          <w:b/>
          <w:sz w:val="30"/>
        </w:rPr>
      </w:pPr>
      <w:r>
        <w:rPr>
          <w:rFonts w:hint="eastAsia" w:ascii="黑体" w:hAnsi="黑体" w:eastAsia="黑体"/>
          <w:b/>
          <w:sz w:val="30"/>
        </w:rPr>
        <w:t>一、主要职责</w:t>
      </w:r>
    </w:p>
    <w:p>
      <w:pPr>
        <w:spacing w:line="580" w:lineRule="exact"/>
        <w:ind w:firstLine="640" w:firstLineChars="200"/>
        <w:rPr>
          <w:rFonts w:eastAsia="仿宋_GB2312"/>
          <w:sz w:val="30"/>
        </w:rPr>
      </w:pPr>
      <w:r>
        <w:rPr>
          <w:rFonts w:hint="eastAsia" w:ascii="仿宋_GB2312" w:hAnsi="仿宋" w:eastAsia="仿宋_GB2312"/>
          <w:sz w:val="32"/>
        </w:rPr>
        <w:t>天津工艺美术职业学院主要职责是:培养高等专业学历艺术人才，促进艺术事业发展。装饰艺术设计、装潢艺术设计、室内艺术设计、影视动画、广告设计与制作、产品造型设计、服装设计、艺术设计（书画装裱艺术）、绘画展示、景观设计、综合绘画艺术专业学科，高等学科学历教育及美术研究、美术创作、继续教育、专业培训。</w:t>
      </w:r>
    </w:p>
    <w:p>
      <w:pPr>
        <w:pStyle w:val="3"/>
        <w:keepNext/>
        <w:keepLines/>
        <w:spacing w:before="260" w:after="260" w:line="600" w:lineRule="exact"/>
        <w:ind w:firstLine="602"/>
        <w:rPr>
          <w:rFonts w:ascii="黑体" w:hAnsi="黑体" w:eastAsia="黑体"/>
          <w:b/>
          <w:sz w:val="30"/>
        </w:rPr>
      </w:pPr>
      <w:r>
        <w:rPr>
          <w:rFonts w:hint="eastAsia" w:ascii="黑体" w:hAnsi="黑体" w:eastAsia="黑体"/>
          <w:b/>
          <w:sz w:val="30"/>
        </w:rPr>
        <w:t>二、机构设置情况</w:t>
      </w:r>
    </w:p>
    <w:p>
      <w:pPr>
        <w:spacing w:line="580" w:lineRule="exact"/>
        <w:ind w:firstLine="640" w:firstLineChars="200"/>
        <w:rPr>
          <w:rFonts w:ascii="仿宋_GB2312" w:hAnsi="仿宋" w:eastAsia="仿宋_GB2312"/>
          <w:sz w:val="32"/>
        </w:rPr>
      </w:pPr>
      <w:r>
        <w:rPr>
          <w:rFonts w:hint="eastAsia" w:ascii="仿宋_GB2312" w:hAnsi="仿宋" w:eastAsia="仿宋_GB2312"/>
          <w:sz w:val="32"/>
        </w:rPr>
        <w:t>天津工艺美术职业学院内设机构</w:t>
      </w:r>
      <w:r>
        <w:rPr>
          <w:rFonts w:hint="eastAsia" w:eastAsia="仿宋_GB2312"/>
          <w:sz w:val="30"/>
        </w:rPr>
        <w:t>21</w:t>
      </w:r>
      <w:r>
        <w:rPr>
          <w:rFonts w:hint="eastAsia" w:ascii="仿宋_GB2312" w:hAnsi="仿宋" w:eastAsia="仿宋_GB2312"/>
          <w:sz w:val="32"/>
        </w:rPr>
        <w:t>个，分别是党委办公室（党委统战部）、院长办公室、纪委办公室、网络安全和信息化办公室、组织人事部（党委教工部）、党委学生工作部、教务部、总务部、财务部、党委保卫工作部、招生就业办公室、商业美术系、环境艺术系、工业设计系、服装装饰系、数字媒体艺术系、综合绘画系、公共课教研室、体育卫生部、思政课教研室、实训培训中心。</w:t>
      </w:r>
    </w:p>
    <w:p>
      <w:pPr>
        <w:spacing w:line="600" w:lineRule="exact"/>
        <w:ind w:firstLine="600"/>
        <w:jc w:val="both"/>
        <w:rPr>
          <w:rFonts w:ascii="黑体" w:hAnsi="黑体" w:eastAsia="黑体"/>
          <w:kern w:val="2"/>
          <w:sz w:val="44"/>
        </w:rPr>
      </w:pPr>
    </w:p>
    <w:p>
      <w:pPr>
        <w:spacing w:line="600" w:lineRule="exact"/>
        <w:jc w:val="both"/>
        <w:rPr>
          <w:rFonts w:ascii="黑体" w:hAnsi="黑体" w:eastAsia="黑体"/>
          <w:kern w:val="2"/>
          <w:sz w:val="44"/>
        </w:rPr>
      </w:pPr>
    </w:p>
    <w:p>
      <w:pPr>
        <w:spacing w:line="360" w:lineRule="atLeast"/>
        <w:jc w:val="center"/>
        <w:rPr>
          <w:rFonts w:ascii="黑体" w:hAnsi="黑体" w:eastAsia="黑体"/>
          <w:kern w:val="2"/>
          <w:sz w:val="30"/>
          <w:lang w:val="zh-CN"/>
        </w:rPr>
      </w:pPr>
    </w:p>
    <w:p>
      <w:pPr>
        <w:spacing w:line="580" w:lineRule="exact"/>
        <w:jc w:val="center"/>
        <w:rPr>
          <w:rFonts w:ascii="黑体" w:hAnsi="黑体" w:eastAsia="黑体"/>
          <w:b/>
          <w:kern w:val="2"/>
          <w:sz w:val="44"/>
        </w:rPr>
      </w:pPr>
      <w:r>
        <w:rPr>
          <w:rFonts w:hint="eastAsia" w:ascii="方正小标宋简体" w:hAnsi="方正小标宋简体" w:eastAsia="方正小标宋简体"/>
          <w:b/>
          <w:kern w:val="44"/>
          <w:sz w:val="44"/>
          <w:lang w:val="zh-CN"/>
        </w:rPr>
        <w:t xml:space="preserve">第二部分 </w:t>
      </w:r>
      <w:r>
        <w:rPr>
          <w:rFonts w:hint="eastAsia" w:ascii="方正小标宋简体" w:hAnsi="方正小标宋简体" w:eastAsia="方正小标宋简体"/>
          <w:b/>
          <w:kern w:val="44"/>
          <w:sz w:val="44"/>
        </w:rPr>
        <w:t xml:space="preserve"> 2024年单位预算情况说明</w:t>
      </w:r>
    </w:p>
    <w:p>
      <w:pPr>
        <w:spacing w:line="580" w:lineRule="exact"/>
        <w:ind w:firstLine="600"/>
        <w:jc w:val="center"/>
        <w:rPr>
          <w:rFonts w:ascii="黑体" w:hAnsi="黑体" w:eastAsia="黑体"/>
          <w:kern w:val="2"/>
          <w:sz w:val="30"/>
        </w:rPr>
      </w:pP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一、关于收支总体情况表的说明</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按照综合预算的原则，天津工艺美术职业学院所有收入和支出均纳入单位预算管理。收入包括：一般公共预算拨款收入</w:t>
      </w:r>
      <w:r>
        <w:rPr>
          <w:rFonts w:eastAsia="仿宋_GB2312"/>
          <w:kern w:val="2"/>
          <w:sz w:val="30"/>
          <w:szCs w:val="22"/>
          <w:lang w:val="zh-CN"/>
        </w:rPr>
        <w:t>5,093.2</w:t>
      </w:r>
      <w:r>
        <w:rPr>
          <w:rFonts w:hint="eastAsia" w:eastAsia="仿宋_GB2312"/>
          <w:kern w:val="2"/>
          <w:sz w:val="30"/>
          <w:szCs w:val="22"/>
          <w:lang w:val="zh-CN"/>
        </w:rPr>
        <w:t>万元、政府性基金预算拨款收入0万元、国有资本经营预算拨款收入0万元、财政专户管理资金收入1,400.0万元、事业收入0万元、事业单位经营收入0万元、上级补助收入0万元、附属单位上缴收入0万元、其他收入0.5万元、上年结转结余0万元；支出包括：教育支出5,963.5万元、文化旅游体育与传媒支出0万元、社会保障和就业支出294.6万元、卫生健康支出235.6万元、债务付息支出0万元，年终结转结余0万元。天津工艺美术职业学院2024年收支总预算6,493.7万元。</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二、关于收入总体情况表的说明</w:t>
      </w:r>
    </w:p>
    <w:p>
      <w:pPr>
        <w:spacing w:line="600" w:lineRule="exact"/>
        <w:ind w:firstLine="600"/>
        <w:jc w:val="both"/>
        <w:rPr>
          <w:rFonts w:ascii="MS Serif" w:hAnsi="MS Serif" w:eastAsia="MS Serif"/>
          <w:kern w:val="2"/>
          <w:sz w:val="30"/>
        </w:rPr>
      </w:pPr>
      <w:r>
        <w:rPr>
          <w:rFonts w:hint="eastAsia" w:eastAsia="仿宋_GB2312"/>
          <w:kern w:val="2"/>
          <w:sz w:val="30"/>
          <w:szCs w:val="22"/>
          <w:lang w:val="zh-CN"/>
        </w:rPr>
        <w:t>天津工艺美术职业学院2024年单位预算收入6,493.7万元，与2023年预算相比增加858.5万元，主要原因是学校招生人数增加，学费收入增加，财政拨款增加。其中：上年结转结余0万元，占0.0</w:t>
      </w:r>
      <w:r>
        <w:rPr>
          <w:rFonts w:eastAsia="仿宋_GB2312"/>
          <w:kern w:val="2"/>
          <w:sz w:val="30"/>
          <w:szCs w:val="22"/>
          <w:lang w:val="zh-CN"/>
        </w:rPr>
        <w:t>%</w:t>
      </w:r>
      <w:r>
        <w:rPr>
          <w:rFonts w:hint="eastAsia" w:eastAsia="仿宋_GB2312"/>
          <w:kern w:val="2"/>
          <w:sz w:val="30"/>
          <w:szCs w:val="22"/>
          <w:lang w:val="zh-CN"/>
        </w:rPr>
        <w:t>；一般公共预算5,093.2万元，占78.4</w:t>
      </w:r>
      <w:r>
        <w:rPr>
          <w:rFonts w:eastAsia="仿宋_GB2312"/>
          <w:kern w:val="2"/>
          <w:sz w:val="30"/>
          <w:szCs w:val="22"/>
          <w:lang w:val="zh-CN"/>
        </w:rPr>
        <w:t>%</w:t>
      </w:r>
      <w:r>
        <w:rPr>
          <w:rFonts w:hint="eastAsia" w:eastAsia="仿宋_GB2312"/>
          <w:kern w:val="2"/>
          <w:sz w:val="30"/>
          <w:szCs w:val="22"/>
          <w:lang w:val="zh-CN"/>
        </w:rPr>
        <w:t>；政府性基金预算0万元，占0.0</w:t>
      </w:r>
      <w:r>
        <w:rPr>
          <w:rFonts w:eastAsia="仿宋_GB2312"/>
          <w:kern w:val="2"/>
          <w:sz w:val="30"/>
          <w:szCs w:val="22"/>
          <w:lang w:val="zh-CN"/>
        </w:rPr>
        <w:t>%</w:t>
      </w:r>
      <w:r>
        <w:rPr>
          <w:rFonts w:hint="eastAsia" w:eastAsia="仿宋_GB2312"/>
          <w:kern w:val="2"/>
          <w:sz w:val="30"/>
          <w:szCs w:val="22"/>
          <w:lang w:val="zh-CN"/>
        </w:rPr>
        <w:t>；国有资本经营预算0万元，占0.0</w:t>
      </w:r>
      <w:r>
        <w:rPr>
          <w:rFonts w:eastAsia="仿宋_GB2312"/>
          <w:kern w:val="2"/>
          <w:sz w:val="30"/>
          <w:szCs w:val="22"/>
          <w:lang w:val="zh-CN"/>
        </w:rPr>
        <w:t>%</w:t>
      </w:r>
      <w:r>
        <w:rPr>
          <w:rFonts w:hint="eastAsia" w:eastAsia="仿宋_GB2312"/>
          <w:kern w:val="2"/>
          <w:sz w:val="30"/>
          <w:szCs w:val="22"/>
          <w:lang w:val="zh-CN"/>
        </w:rPr>
        <w:t>；财政专户管理资金1,400万元，占21.5</w:t>
      </w:r>
      <w:r>
        <w:rPr>
          <w:rFonts w:eastAsia="仿宋_GB2312"/>
          <w:kern w:val="2"/>
          <w:sz w:val="30"/>
          <w:szCs w:val="22"/>
          <w:lang w:val="zh-CN"/>
        </w:rPr>
        <w:t>%</w:t>
      </w:r>
      <w:r>
        <w:rPr>
          <w:rFonts w:hint="eastAsia" w:eastAsia="仿宋_GB2312"/>
          <w:kern w:val="2"/>
          <w:sz w:val="30"/>
          <w:szCs w:val="22"/>
          <w:lang w:val="zh-CN"/>
        </w:rPr>
        <w:t>；事业收入0万元，占0.0</w:t>
      </w:r>
      <w:r>
        <w:rPr>
          <w:rFonts w:eastAsia="仿宋_GB2312"/>
          <w:kern w:val="2"/>
          <w:sz w:val="30"/>
          <w:szCs w:val="22"/>
          <w:lang w:val="zh-CN"/>
        </w:rPr>
        <w:t>%</w:t>
      </w:r>
      <w:r>
        <w:rPr>
          <w:rFonts w:hint="eastAsia" w:eastAsia="仿宋_GB2312"/>
          <w:kern w:val="2"/>
          <w:sz w:val="30"/>
          <w:szCs w:val="22"/>
          <w:lang w:val="zh-CN"/>
        </w:rPr>
        <w:t>；事业单位经营收入0万元，占0.0</w:t>
      </w:r>
      <w:r>
        <w:rPr>
          <w:rFonts w:eastAsia="仿宋_GB2312"/>
          <w:kern w:val="2"/>
          <w:sz w:val="30"/>
          <w:szCs w:val="22"/>
          <w:lang w:val="zh-CN"/>
        </w:rPr>
        <w:t>%</w:t>
      </w:r>
      <w:r>
        <w:rPr>
          <w:rFonts w:hint="eastAsia" w:eastAsia="仿宋_GB2312"/>
          <w:kern w:val="2"/>
          <w:sz w:val="30"/>
          <w:szCs w:val="22"/>
          <w:lang w:val="zh-CN"/>
        </w:rPr>
        <w:t>；上级补助收入0万元，占0.0</w:t>
      </w:r>
      <w:r>
        <w:rPr>
          <w:rFonts w:eastAsia="仿宋_GB2312"/>
          <w:kern w:val="2"/>
          <w:sz w:val="30"/>
          <w:szCs w:val="22"/>
          <w:lang w:val="zh-CN"/>
        </w:rPr>
        <w:t>%</w:t>
      </w:r>
      <w:r>
        <w:rPr>
          <w:rFonts w:hint="eastAsia" w:eastAsia="仿宋_GB2312"/>
          <w:kern w:val="2"/>
          <w:sz w:val="30"/>
          <w:szCs w:val="22"/>
          <w:lang w:val="zh-CN"/>
        </w:rPr>
        <w:t>；附属单位上缴收入0万元，占0.0</w:t>
      </w:r>
      <w:r>
        <w:rPr>
          <w:rFonts w:eastAsia="仿宋_GB2312"/>
          <w:kern w:val="2"/>
          <w:sz w:val="30"/>
          <w:szCs w:val="22"/>
          <w:lang w:val="zh-CN"/>
        </w:rPr>
        <w:t>%</w:t>
      </w:r>
      <w:r>
        <w:rPr>
          <w:rFonts w:hint="eastAsia" w:eastAsia="仿宋_GB2312"/>
          <w:kern w:val="2"/>
          <w:sz w:val="30"/>
          <w:szCs w:val="22"/>
          <w:lang w:val="zh-CN"/>
        </w:rPr>
        <w:t>；其他收入0.5万元，占0.1</w:t>
      </w:r>
      <w:r>
        <w:rPr>
          <w:rFonts w:eastAsia="仿宋_GB2312"/>
          <w:kern w:val="2"/>
          <w:sz w:val="30"/>
          <w:szCs w:val="22"/>
          <w:lang w:val="zh-CN"/>
        </w:rPr>
        <w:t>%</w:t>
      </w:r>
      <w:r>
        <w:rPr>
          <w:rFonts w:hint="eastAsia" w:eastAsia="仿宋_GB2312"/>
          <w:kern w:val="2"/>
          <w:sz w:val="30"/>
          <w:szCs w:val="22"/>
          <w:lang w:val="zh-CN"/>
        </w:rPr>
        <w:t>。</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三、关于支出总体情况表的说明</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天津工艺美术职业学院2024年支出预算6,493.7万元，与2023年预算相比增加858.5万元，主要原因是学生规模扩大，学校支出增加。其中：基本支出6,223.2万元，占95.8</w:t>
      </w:r>
      <w:r>
        <w:rPr>
          <w:rFonts w:eastAsia="仿宋_GB2312"/>
          <w:kern w:val="2"/>
          <w:sz w:val="30"/>
          <w:szCs w:val="22"/>
          <w:lang w:val="zh-CN"/>
        </w:rPr>
        <w:t>%</w:t>
      </w:r>
      <w:r>
        <w:rPr>
          <w:rFonts w:hint="eastAsia" w:eastAsia="仿宋_GB2312"/>
          <w:kern w:val="2"/>
          <w:sz w:val="30"/>
          <w:szCs w:val="22"/>
          <w:lang w:val="zh-CN"/>
        </w:rPr>
        <w:t>；项目支出270.5万元，占4.2</w:t>
      </w:r>
      <w:r>
        <w:rPr>
          <w:rFonts w:eastAsia="仿宋_GB2312"/>
          <w:kern w:val="2"/>
          <w:sz w:val="30"/>
          <w:szCs w:val="22"/>
          <w:lang w:val="zh-CN"/>
        </w:rPr>
        <w:t>%</w:t>
      </w:r>
      <w:r>
        <w:rPr>
          <w:rFonts w:hint="eastAsia" w:eastAsia="仿宋_GB2312"/>
          <w:kern w:val="2"/>
          <w:sz w:val="30"/>
          <w:szCs w:val="22"/>
          <w:lang w:val="zh-CN"/>
        </w:rPr>
        <w:t>；事业单位经营支出0万元，占0.0</w:t>
      </w:r>
      <w:r>
        <w:rPr>
          <w:rFonts w:eastAsia="仿宋_GB2312"/>
          <w:kern w:val="2"/>
          <w:sz w:val="30"/>
          <w:szCs w:val="22"/>
          <w:lang w:val="zh-CN"/>
        </w:rPr>
        <w:t>%</w:t>
      </w:r>
      <w:r>
        <w:rPr>
          <w:rFonts w:hint="eastAsia" w:eastAsia="仿宋_GB2312"/>
          <w:kern w:val="2"/>
          <w:sz w:val="30"/>
          <w:szCs w:val="22"/>
          <w:lang w:val="zh-CN"/>
        </w:rPr>
        <w:t>；上缴上级支出0万元，占0.0</w:t>
      </w:r>
      <w:r>
        <w:rPr>
          <w:rFonts w:eastAsia="仿宋_GB2312"/>
          <w:kern w:val="2"/>
          <w:sz w:val="30"/>
          <w:szCs w:val="22"/>
          <w:lang w:val="zh-CN"/>
        </w:rPr>
        <w:t>%</w:t>
      </w:r>
      <w:r>
        <w:rPr>
          <w:rFonts w:hint="eastAsia" w:eastAsia="仿宋_GB2312"/>
          <w:kern w:val="2"/>
          <w:sz w:val="30"/>
          <w:szCs w:val="22"/>
          <w:lang w:val="zh-CN"/>
        </w:rPr>
        <w:t>；对附属单位补助支出0万元，占0.0</w:t>
      </w:r>
      <w:r>
        <w:rPr>
          <w:rFonts w:eastAsia="仿宋_GB2312"/>
          <w:kern w:val="2"/>
          <w:sz w:val="30"/>
          <w:szCs w:val="22"/>
          <w:lang w:val="zh-CN"/>
        </w:rPr>
        <w:t>%</w:t>
      </w:r>
      <w:r>
        <w:rPr>
          <w:rFonts w:hint="eastAsia" w:eastAsia="仿宋_GB2312"/>
          <w:kern w:val="2"/>
          <w:sz w:val="30"/>
          <w:szCs w:val="22"/>
          <w:lang w:val="zh-CN"/>
        </w:rPr>
        <w:t>。</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四、关于财政拨款收支总体情况表的说明</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天津工艺美术职业学院2024年财政拨款收入预算5,093.2万元，与2023年预算相比增加658.5万元，主要原因是学校招生人数增加，财政拨款增加。收入包括：一般公共预算拨款收入5,093.2万元、政府性基金预算拨款收入0万元、国有资本经营预算拨款收入0万元、上年财政结转结余0万元。2024年财政拨款支出预算5,093.2万元，与2023年预算相比增加658.5万元，主要原因是学生规模扩大，学校支出增加。支出包括：教育支出4,563万元、文化旅游体育与传媒支出0万元、社会保障和就业支出294.6万元、卫生健康支出235.6万元、债务付息支出0万元。</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五、关于一般公共预算支出情况表的说明</w:t>
      </w:r>
    </w:p>
    <w:p>
      <w:pPr>
        <w:pStyle w:val="3"/>
        <w:keepNext/>
        <w:keepLines/>
        <w:spacing w:before="260" w:after="260" w:line="600" w:lineRule="exact"/>
        <w:ind w:firstLine="600"/>
        <w:rPr>
          <w:rFonts w:ascii="楷体" w:hAnsi="楷体" w:eastAsia="楷体"/>
          <w:b/>
          <w:kern w:val="2"/>
          <w:sz w:val="30"/>
        </w:rPr>
      </w:pPr>
      <w:r>
        <w:rPr>
          <w:rFonts w:hint="eastAsia" w:ascii="楷体" w:hAnsi="楷体" w:eastAsia="楷体"/>
          <w:b/>
          <w:kern w:val="2"/>
          <w:sz w:val="30"/>
        </w:rPr>
        <w:t>（一）总体情况。</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天津工艺美术职业学院2024年一般公共预算支出5,093.2万元，与2023年预算相比增加658.5万元，主要原因是学生规模扩大，学校支出增加。</w:t>
      </w:r>
    </w:p>
    <w:p>
      <w:pPr>
        <w:spacing w:line="600" w:lineRule="exact"/>
        <w:ind w:firstLine="600"/>
        <w:jc w:val="both"/>
        <w:rPr>
          <w:rFonts w:ascii="楷体" w:hAnsi="楷体" w:eastAsia="楷体"/>
          <w:b/>
          <w:kern w:val="2"/>
          <w:sz w:val="30"/>
        </w:rPr>
      </w:pPr>
      <w:r>
        <w:rPr>
          <w:rFonts w:hint="eastAsia" w:ascii="楷体" w:hAnsi="楷体" w:eastAsia="楷体"/>
          <w:b/>
          <w:kern w:val="2"/>
          <w:sz w:val="30"/>
        </w:rPr>
        <w:t>（二）具体情况。</w:t>
      </w:r>
    </w:p>
    <w:p>
      <w:pPr>
        <w:spacing w:line="580" w:lineRule="exact"/>
        <w:ind w:firstLine="600"/>
        <w:jc w:val="both"/>
        <w:rPr>
          <w:rFonts w:eastAsia="仿宋_GB2312"/>
          <w:kern w:val="2"/>
          <w:sz w:val="30"/>
          <w:szCs w:val="22"/>
          <w:highlight w:val="none"/>
          <w:lang w:val="zh-CN"/>
        </w:rPr>
      </w:pPr>
      <w:r>
        <w:rPr>
          <w:rFonts w:hint="eastAsia" w:ascii="仿宋" w:hAnsi="仿宋" w:eastAsia="仿宋"/>
          <w:sz w:val="30"/>
        </w:rPr>
        <w:t>1</w:t>
      </w:r>
      <w:r>
        <w:rPr>
          <w:rFonts w:hint="eastAsia" w:ascii="仿宋" w:hAnsi="仿宋" w:eastAsia="仿宋"/>
          <w:sz w:val="30"/>
          <w:lang w:val="zh-CN"/>
        </w:rPr>
        <w:t>、</w:t>
      </w:r>
      <w:r>
        <w:rPr>
          <w:rFonts w:hint="eastAsia" w:eastAsia="仿宋_GB2312"/>
          <w:kern w:val="2"/>
          <w:sz w:val="30"/>
          <w:szCs w:val="22"/>
          <w:lang w:val="zh-CN"/>
        </w:rPr>
        <w:t>“教育支出”4,563万元，与2023年预算相比增加611.2万元，</w:t>
      </w:r>
      <w:r>
        <w:rPr>
          <w:rFonts w:hint="eastAsia" w:eastAsia="仿宋_GB2312"/>
          <w:kern w:val="2"/>
          <w:sz w:val="30"/>
          <w:szCs w:val="22"/>
          <w:highlight w:val="none"/>
          <w:lang w:val="zh-CN"/>
        </w:rPr>
        <w:t>主要原因是学生规模扩大，学校支出增加，其中：</w:t>
      </w:r>
    </w:p>
    <w:p>
      <w:pPr>
        <w:spacing w:line="580" w:lineRule="exact"/>
        <w:ind w:firstLine="600"/>
        <w:jc w:val="both"/>
        <w:rPr>
          <w:rFonts w:eastAsia="仿宋_GB2312"/>
          <w:kern w:val="2"/>
          <w:sz w:val="30"/>
          <w:szCs w:val="22"/>
          <w:highlight w:val="none"/>
          <w:lang w:val="zh-CN"/>
        </w:rPr>
      </w:pPr>
      <w:r>
        <w:rPr>
          <w:rFonts w:hint="eastAsia" w:eastAsia="仿宋_GB2312"/>
          <w:kern w:val="2"/>
          <w:sz w:val="30"/>
          <w:szCs w:val="22"/>
          <w:highlight w:val="none"/>
          <w:lang w:val="zh-CN"/>
        </w:rPr>
        <w:t>“职业教育”4,563万元，包括:“高等职业教育”4,563万元</w:t>
      </w:r>
      <w:r>
        <w:rPr>
          <w:rFonts w:hint="eastAsia" w:eastAsia="仿宋_GB2312"/>
          <w:kern w:val="2"/>
          <w:sz w:val="30"/>
          <w:szCs w:val="22"/>
          <w:highlight w:val="none"/>
        </w:rPr>
        <w:t>,主要用于：本单位人员经费支出、公用经费支出和项目支出</w:t>
      </w:r>
      <w:r>
        <w:rPr>
          <w:rFonts w:hint="eastAsia" w:eastAsia="仿宋_GB2312"/>
          <w:kern w:val="2"/>
          <w:sz w:val="30"/>
          <w:szCs w:val="22"/>
          <w:highlight w:val="none"/>
          <w:lang w:val="zh-CN"/>
        </w:rPr>
        <w:t>；</w:t>
      </w:r>
    </w:p>
    <w:p>
      <w:pPr>
        <w:spacing w:line="580" w:lineRule="exact"/>
        <w:ind w:firstLine="600"/>
        <w:jc w:val="both"/>
        <w:rPr>
          <w:rFonts w:eastAsia="仿宋_GB2312"/>
          <w:kern w:val="2"/>
          <w:sz w:val="30"/>
          <w:szCs w:val="22"/>
          <w:highlight w:val="none"/>
          <w:lang w:val="zh-CN"/>
        </w:rPr>
      </w:pPr>
      <w:r>
        <w:rPr>
          <w:rFonts w:hint="eastAsia" w:ascii="仿宋" w:hAnsi="仿宋" w:eastAsia="仿宋"/>
          <w:sz w:val="30"/>
          <w:highlight w:val="none"/>
        </w:rPr>
        <w:t>2</w:t>
      </w:r>
      <w:r>
        <w:rPr>
          <w:rFonts w:hint="eastAsia" w:ascii="仿宋" w:hAnsi="仿宋" w:eastAsia="仿宋"/>
          <w:sz w:val="30"/>
          <w:highlight w:val="none"/>
          <w:lang w:val="zh-CN"/>
        </w:rPr>
        <w:t>、</w:t>
      </w:r>
      <w:r>
        <w:rPr>
          <w:rFonts w:hint="eastAsia" w:eastAsia="仿宋_GB2312"/>
          <w:kern w:val="2"/>
          <w:sz w:val="30"/>
          <w:szCs w:val="22"/>
          <w:highlight w:val="none"/>
          <w:lang w:val="zh-CN"/>
        </w:rPr>
        <w:t>“社会保障和就业支出”294.6万元，与2023年预算相比增加21.1万元，主要原因是人员增加，缴费基数增加，其中：</w:t>
      </w:r>
    </w:p>
    <w:p>
      <w:pPr>
        <w:spacing w:line="580" w:lineRule="exact"/>
        <w:ind w:firstLine="600"/>
        <w:jc w:val="both"/>
        <w:rPr>
          <w:rFonts w:eastAsia="仿宋_GB2312"/>
          <w:kern w:val="2"/>
          <w:sz w:val="30"/>
          <w:szCs w:val="22"/>
          <w:highlight w:val="none"/>
          <w:lang w:val="zh-CN"/>
        </w:rPr>
      </w:pPr>
      <w:r>
        <w:rPr>
          <w:rFonts w:hint="eastAsia" w:eastAsia="仿宋_GB2312"/>
          <w:kern w:val="2"/>
          <w:sz w:val="30"/>
          <w:szCs w:val="22"/>
          <w:highlight w:val="none"/>
          <w:lang w:val="zh-CN"/>
        </w:rPr>
        <w:t>“行政事业单位养老支出”294.6万元，包括:“机关事业单位基本养老保险缴费支出”196.4万元，</w:t>
      </w:r>
      <w:r>
        <w:rPr>
          <w:rFonts w:hint="eastAsia" w:eastAsia="仿宋_GB2312"/>
          <w:kern w:val="2"/>
          <w:sz w:val="30"/>
          <w:szCs w:val="22"/>
          <w:highlight w:val="none"/>
        </w:rPr>
        <w:t>主要用于：缴纳职工基本养老保险</w:t>
      </w:r>
      <w:r>
        <w:rPr>
          <w:rFonts w:hint="eastAsia" w:eastAsia="仿宋_GB2312"/>
          <w:kern w:val="2"/>
          <w:sz w:val="30"/>
          <w:szCs w:val="22"/>
          <w:highlight w:val="none"/>
          <w:lang w:val="zh-CN"/>
        </w:rPr>
        <w:t>；“机关事业单位职业年金缴费支出”98.2万元，</w:t>
      </w:r>
      <w:r>
        <w:rPr>
          <w:rFonts w:hint="eastAsia" w:eastAsia="仿宋_GB2312"/>
          <w:kern w:val="2"/>
          <w:sz w:val="30"/>
          <w:szCs w:val="22"/>
          <w:highlight w:val="none"/>
        </w:rPr>
        <w:t>主要用于：缴纳职工职业年金</w:t>
      </w:r>
      <w:r>
        <w:rPr>
          <w:rFonts w:hint="eastAsia" w:eastAsia="仿宋_GB2312"/>
          <w:kern w:val="2"/>
          <w:sz w:val="30"/>
          <w:szCs w:val="22"/>
          <w:highlight w:val="none"/>
          <w:lang w:val="zh-CN"/>
        </w:rPr>
        <w:t>；</w:t>
      </w:r>
    </w:p>
    <w:p>
      <w:pPr>
        <w:spacing w:line="580" w:lineRule="exact"/>
        <w:ind w:firstLine="600"/>
        <w:jc w:val="both"/>
        <w:rPr>
          <w:rFonts w:eastAsia="仿宋_GB2312"/>
          <w:kern w:val="2"/>
          <w:sz w:val="30"/>
          <w:szCs w:val="22"/>
          <w:highlight w:val="none"/>
          <w:lang w:val="zh-CN"/>
        </w:rPr>
      </w:pPr>
      <w:r>
        <w:rPr>
          <w:rFonts w:hint="eastAsia" w:ascii="仿宋" w:hAnsi="仿宋" w:eastAsia="仿宋"/>
          <w:sz w:val="30"/>
          <w:highlight w:val="none"/>
        </w:rPr>
        <w:t>3</w:t>
      </w:r>
      <w:r>
        <w:rPr>
          <w:rFonts w:hint="eastAsia" w:ascii="仿宋" w:hAnsi="仿宋" w:eastAsia="仿宋"/>
          <w:sz w:val="30"/>
          <w:highlight w:val="none"/>
          <w:lang w:val="zh-CN"/>
        </w:rPr>
        <w:t>、</w:t>
      </w:r>
      <w:r>
        <w:rPr>
          <w:rFonts w:hint="eastAsia" w:eastAsia="仿宋_GB2312"/>
          <w:kern w:val="2"/>
          <w:sz w:val="30"/>
          <w:szCs w:val="22"/>
          <w:highlight w:val="none"/>
          <w:lang w:val="zh-CN"/>
        </w:rPr>
        <w:t>“卫生健康支出”235.6万元，与2023年预算相比增加26.2万元，主要原因是人员增加，缴费基数增加，其中：</w:t>
      </w:r>
    </w:p>
    <w:p>
      <w:pPr>
        <w:spacing w:line="580" w:lineRule="exact"/>
        <w:ind w:firstLine="600"/>
        <w:jc w:val="both"/>
        <w:rPr>
          <w:rFonts w:eastAsia="仿宋_GB2312"/>
          <w:kern w:val="2"/>
          <w:sz w:val="30"/>
          <w:szCs w:val="22"/>
          <w:highlight w:val="none"/>
          <w:lang w:val="zh-CN"/>
        </w:rPr>
      </w:pPr>
      <w:r>
        <w:rPr>
          <w:rFonts w:hint="eastAsia" w:eastAsia="仿宋_GB2312"/>
          <w:kern w:val="2"/>
          <w:sz w:val="30"/>
          <w:szCs w:val="22"/>
          <w:highlight w:val="none"/>
          <w:lang w:val="zh-CN"/>
        </w:rPr>
        <w:t>“行政事业单位医疗”235.6万元，包括:“事业单位医疗”122.8万元，</w:t>
      </w:r>
      <w:r>
        <w:rPr>
          <w:rFonts w:hint="eastAsia" w:eastAsia="仿宋_GB2312"/>
          <w:kern w:val="2"/>
          <w:sz w:val="30"/>
          <w:szCs w:val="22"/>
          <w:highlight w:val="none"/>
        </w:rPr>
        <w:t>主要用于：缴纳职工医疗保险</w:t>
      </w:r>
      <w:r>
        <w:rPr>
          <w:rFonts w:hint="eastAsia" w:eastAsia="仿宋_GB2312"/>
          <w:kern w:val="2"/>
          <w:sz w:val="30"/>
          <w:szCs w:val="22"/>
          <w:highlight w:val="none"/>
          <w:lang w:val="zh-CN"/>
        </w:rPr>
        <w:t>；“其他行政事业单位医疗支出”112.8万元，</w:t>
      </w:r>
      <w:r>
        <w:rPr>
          <w:rFonts w:hint="eastAsia" w:eastAsia="仿宋_GB2312"/>
          <w:kern w:val="2"/>
          <w:sz w:val="30"/>
          <w:szCs w:val="22"/>
          <w:highlight w:val="none"/>
        </w:rPr>
        <w:t>主要用于：职工的医疗费支出</w:t>
      </w:r>
      <w:r>
        <w:rPr>
          <w:rFonts w:hint="eastAsia" w:eastAsia="仿宋_GB2312"/>
          <w:kern w:val="2"/>
          <w:sz w:val="30"/>
          <w:szCs w:val="22"/>
          <w:highlight w:val="none"/>
          <w:lang w:val="zh-CN"/>
        </w:rPr>
        <w:t>。</w:t>
      </w:r>
    </w:p>
    <w:p>
      <w:pPr>
        <w:spacing w:before="260" w:after="260" w:line="600" w:lineRule="exact"/>
        <w:ind w:firstLine="601"/>
        <w:rPr>
          <w:rFonts w:ascii="黑体" w:hAnsi="黑体" w:eastAsia="黑体"/>
          <w:sz w:val="30"/>
          <w:szCs w:val="22"/>
        </w:rPr>
      </w:pPr>
      <w:r>
        <w:rPr>
          <w:rFonts w:hint="eastAsia" w:ascii="黑体" w:hAnsi="黑体" w:eastAsia="黑体"/>
          <w:sz w:val="30"/>
          <w:szCs w:val="22"/>
        </w:rPr>
        <w:t>六、关于一般公共预算基本支出情况表的说明</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天津工艺美术职业学院一般公共预算基本支出4,822.7万元，与2023年预算相比增加562.1万元，主要原因是学生规模扩大，学校支出增加。其中：</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人员经费4,194.5万元，主要包括：</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“基本工资”680</w:t>
      </w:r>
      <w:bookmarkStart w:id="0" w:name="_GoBack"/>
      <w:bookmarkEnd w:id="0"/>
      <w:r>
        <w:rPr>
          <w:rFonts w:hint="eastAsia" w:eastAsia="仿宋_GB2312"/>
          <w:kern w:val="2"/>
          <w:sz w:val="30"/>
          <w:szCs w:val="22"/>
          <w:lang w:val="zh-CN"/>
        </w:rPr>
        <w:t>万元、“津贴补贴”345.7万元、“绩效工资”1,427.9万元、“机关事业单位基本养老保险缴费”196.4万元、“职业年金缴费”98.2万元、“职工基本医疗保险缴费”122.8万元、“其他社会保障缴费”112.8万元、“住房公积金”1,046万元、“退休费”160万元、“生活补助”4.7万元。</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公用经费628.2万元，主要包括：</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“办公费”100万元、“水费”40万元、“电费”48万元、“取暖费”112.5万元、“物业管理费”304.5万元、“工会经费”23.2万元。</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七、关于一般公共预算“三公”经费支出情况表的说明</w:t>
      </w:r>
    </w:p>
    <w:p>
      <w:pPr>
        <w:spacing w:line="580" w:lineRule="exact"/>
        <w:ind w:firstLine="600"/>
        <w:jc w:val="both"/>
        <w:rPr>
          <w:rFonts w:eastAsia="仿宋_GB2312"/>
          <w:kern w:val="2"/>
          <w:sz w:val="30"/>
          <w:szCs w:val="22"/>
          <w:lang w:val="zh-CN"/>
        </w:rPr>
      </w:pPr>
      <w:r>
        <w:rPr>
          <w:rFonts w:hint="eastAsia" w:eastAsia="仿宋_GB2312"/>
          <w:kern w:val="2"/>
          <w:sz w:val="30"/>
          <w:szCs w:val="22"/>
          <w:lang w:val="zh-CN"/>
        </w:rPr>
        <w:t>2024年一般公共预算“三公”经费安排0万元，与2023年预算相比持平，主要原因是本单位一般公共预算未安排“三公”经费。具体情况：</w:t>
      </w:r>
    </w:p>
    <w:p>
      <w:pPr>
        <w:spacing w:line="560" w:lineRule="exact"/>
        <w:ind w:firstLine="600"/>
        <w:jc w:val="both"/>
        <w:rPr>
          <w:rFonts w:eastAsia="仿宋_GB2312"/>
          <w:kern w:val="2"/>
          <w:sz w:val="30"/>
          <w:szCs w:val="22"/>
          <w:lang w:val="zh-CN"/>
        </w:rPr>
      </w:pPr>
      <w:r>
        <w:rPr>
          <w:rFonts w:hint="eastAsia" w:ascii="仿宋_GB2312" w:hAnsi="仿宋_GB2312" w:eastAsia="仿宋_GB2312"/>
          <w:kern w:val="2"/>
          <w:sz w:val="30"/>
        </w:rPr>
        <w:t>一</w:t>
      </w:r>
      <w:r>
        <w:rPr>
          <w:rFonts w:hint="eastAsia" w:eastAsia="仿宋_GB2312"/>
          <w:kern w:val="2"/>
          <w:sz w:val="30"/>
          <w:szCs w:val="22"/>
          <w:lang w:val="zh-CN"/>
        </w:rPr>
        <w:t>、2024年因公出国（境）费预算0万元，与2023年预算相比持平，主要原因是本单位一般公共预算未安排‘因公出国（境）费’经费。</w:t>
      </w:r>
    </w:p>
    <w:p>
      <w:pPr>
        <w:spacing w:line="560" w:lineRule="exact"/>
        <w:ind w:firstLine="600"/>
        <w:jc w:val="both"/>
        <w:rPr>
          <w:rFonts w:eastAsia="仿宋_GB2312"/>
          <w:kern w:val="2"/>
          <w:sz w:val="30"/>
          <w:szCs w:val="22"/>
          <w:lang w:val="zh-CN"/>
        </w:rPr>
      </w:pPr>
      <w:r>
        <w:rPr>
          <w:rFonts w:hint="eastAsia" w:ascii="仿宋_GB2312" w:hAnsi="仿宋_GB2312" w:eastAsia="仿宋_GB2312"/>
          <w:kern w:val="2"/>
          <w:sz w:val="30"/>
        </w:rPr>
        <w:t>二、</w:t>
      </w:r>
      <w:r>
        <w:rPr>
          <w:rFonts w:hint="eastAsia" w:eastAsia="仿宋_GB2312"/>
          <w:kern w:val="2"/>
          <w:sz w:val="30"/>
          <w:szCs w:val="22"/>
          <w:lang w:val="zh-CN"/>
        </w:rPr>
        <w:t>2024年公务用车购置及运行费预算0万元，其中公务用车运行费0万元，与2023年预算相比持平，主要原因是本单位一般公共预算未安排‘公务用车购置及运行费’经费；公务用车购置费0万元，与2023年预算相比持平，主要原因是本单位一般公共预算未安排‘公务用车购置费’经费。</w:t>
      </w:r>
    </w:p>
    <w:p>
      <w:pPr>
        <w:spacing w:line="560" w:lineRule="exact"/>
        <w:ind w:firstLine="645"/>
        <w:jc w:val="both"/>
        <w:rPr>
          <w:rFonts w:eastAsia="仿宋_GB2312"/>
          <w:kern w:val="2"/>
          <w:sz w:val="30"/>
          <w:szCs w:val="22"/>
          <w:lang w:val="zh-CN"/>
        </w:rPr>
      </w:pPr>
      <w:r>
        <w:rPr>
          <w:rFonts w:hint="eastAsia" w:ascii="仿宋_GB2312" w:hAnsi="仿宋_GB2312" w:eastAsia="仿宋_GB2312"/>
          <w:kern w:val="2"/>
          <w:sz w:val="30"/>
        </w:rPr>
        <w:t>三</w:t>
      </w:r>
      <w:r>
        <w:rPr>
          <w:rFonts w:hint="eastAsia" w:eastAsia="仿宋_GB2312"/>
          <w:kern w:val="2"/>
          <w:sz w:val="30"/>
          <w:szCs w:val="22"/>
          <w:lang w:val="zh-CN"/>
        </w:rPr>
        <w:t>、2024年公务接待费预算0万元，与2023年预算相比持平，主要原因是本单位一般公共预算未安排‘公务接待费’经费。</w:t>
      </w:r>
    </w:p>
    <w:p>
      <w:pPr>
        <w:pStyle w:val="3"/>
        <w:keepNext/>
        <w:keepLines/>
        <w:spacing w:before="260" w:after="260" w:line="600" w:lineRule="exact"/>
        <w:ind w:firstLine="600"/>
        <w:rPr>
          <w:rFonts w:ascii="Calibri" w:hAnsi="Calibri" w:eastAsia="Calibri"/>
          <w:kern w:val="2"/>
          <w:sz w:val="21"/>
          <w:lang w:val="zh-CN"/>
        </w:rPr>
      </w:pPr>
      <w:r>
        <w:rPr>
          <w:rFonts w:hint="eastAsia" w:ascii="黑体" w:hAnsi="黑体" w:eastAsia="黑体"/>
          <w:sz w:val="30"/>
        </w:rPr>
        <w:t>八、关于政府性基金预算支出情况表的说明</w:t>
      </w:r>
    </w:p>
    <w:p>
      <w:pPr>
        <w:spacing w:line="560" w:lineRule="exact"/>
        <w:ind w:firstLine="645"/>
        <w:jc w:val="both"/>
        <w:rPr>
          <w:rFonts w:eastAsia="仿宋_GB2312"/>
          <w:kern w:val="2"/>
          <w:sz w:val="30"/>
          <w:szCs w:val="22"/>
          <w:lang w:val="zh-CN"/>
        </w:rPr>
      </w:pPr>
      <w:r>
        <w:rPr>
          <w:rFonts w:hint="eastAsia" w:eastAsia="仿宋_GB2312"/>
          <w:kern w:val="2"/>
          <w:sz w:val="30"/>
          <w:szCs w:val="22"/>
          <w:lang w:val="zh-CN"/>
        </w:rPr>
        <w:t>2024年天津工艺美术职业学院预算中没有使用政府性基金预算安排的支出。</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九、关于国有资本经营预算支出情况表的说明</w:t>
      </w:r>
    </w:p>
    <w:p>
      <w:pPr>
        <w:spacing w:line="560" w:lineRule="exact"/>
        <w:ind w:firstLine="645"/>
        <w:jc w:val="both"/>
        <w:rPr>
          <w:rFonts w:eastAsia="仿宋_GB2312"/>
          <w:kern w:val="2"/>
          <w:sz w:val="30"/>
          <w:szCs w:val="22"/>
          <w:lang w:val="zh-CN"/>
        </w:rPr>
      </w:pPr>
      <w:r>
        <w:rPr>
          <w:rFonts w:hint="eastAsia" w:eastAsia="仿宋_GB2312"/>
          <w:kern w:val="2"/>
          <w:sz w:val="30"/>
          <w:szCs w:val="22"/>
          <w:lang w:val="zh-CN"/>
        </w:rPr>
        <w:t>2024年天津工艺美术职业学院预算中没有使用国有资本经营预算安排的支出。</w:t>
      </w:r>
    </w:p>
    <w:p>
      <w:pPr>
        <w:pStyle w:val="3"/>
        <w:keepNext/>
        <w:keepLines/>
        <w:spacing w:before="260" w:after="260" w:line="600" w:lineRule="exact"/>
        <w:ind w:firstLine="600"/>
        <w:rPr>
          <w:rFonts w:ascii="黑体" w:hAnsi="黑体" w:eastAsia="黑体"/>
          <w:sz w:val="30"/>
        </w:rPr>
      </w:pPr>
      <w:r>
        <w:rPr>
          <w:rFonts w:hint="eastAsia" w:ascii="黑体" w:hAnsi="黑体" w:eastAsia="黑体"/>
          <w:sz w:val="30"/>
        </w:rPr>
        <w:t>十、其他重要事项的情况说明</w:t>
      </w:r>
    </w:p>
    <w:p>
      <w:pPr>
        <w:spacing w:line="600" w:lineRule="exact"/>
        <w:ind w:left="480"/>
        <w:jc w:val="both"/>
        <w:rPr>
          <w:rFonts w:ascii="楷体" w:hAnsi="楷体" w:eastAsia="楷体"/>
          <w:b/>
          <w:kern w:val="2"/>
          <w:sz w:val="30"/>
        </w:rPr>
      </w:pPr>
      <w:r>
        <w:rPr>
          <w:rFonts w:hint="eastAsia" w:ascii="楷体" w:hAnsi="楷体" w:eastAsia="楷体"/>
          <w:b/>
          <w:kern w:val="2"/>
          <w:sz w:val="30"/>
        </w:rPr>
        <w:t xml:space="preserve"> （一）机关运行经费。</w:t>
      </w:r>
    </w:p>
    <w:p>
      <w:pPr>
        <w:spacing w:line="560" w:lineRule="exact"/>
        <w:ind w:firstLine="645"/>
        <w:jc w:val="both"/>
        <w:rPr>
          <w:rFonts w:eastAsia="仿宋_GB2312"/>
          <w:kern w:val="2"/>
          <w:sz w:val="30"/>
          <w:szCs w:val="22"/>
          <w:lang w:val="zh-CN"/>
        </w:rPr>
      </w:pPr>
      <w:r>
        <w:rPr>
          <w:rFonts w:hint="eastAsia" w:eastAsia="仿宋_GB2312"/>
          <w:kern w:val="2"/>
          <w:sz w:val="30"/>
          <w:szCs w:val="22"/>
          <w:lang w:val="zh-CN"/>
        </w:rPr>
        <w:t xml:space="preserve"> 天津工艺美术职业学院2024年未安排机关运行经费预算。</w:t>
      </w:r>
    </w:p>
    <w:p>
      <w:pPr>
        <w:spacing w:line="600" w:lineRule="exact"/>
        <w:ind w:firstLine="602"/>
        <w:jc w:val="both"/>
        <w:rPr>
          <w:rFonts w:ascii="MS Serif" w:hAnsi="MS Serif" w:eastAsia="MS Serif"/>
          <w:b/>
          <w:kern w:val="2"/>
          <w:sz w:val="30"/>
        </w:rPr>
      </w:pPr>
      <w:r>
        <w:rPr>
          <w:rFonts w:hint="eastAsia" w:ascii="楷体" w:hAnsi="楷体" w:eastAsia="楷体"/>
          <w:b/>
          <w:kern w:val="2"/>
          <w:sz w:val="30"/>
        </w:rPr>
        <w:t>（二）</w:t>
      </w:r>
      <w:r>
        <w:rPr>
          <w:rFonts w:hint="eastAsia" w:ascii="楷体_GB2312" w:hAnsi="楷体_GB2312" w:eastAsia="楷体_GB2312"/>
          <w:b/>
          <w:kern w:val="2"/>
          <w:sz w:val="30"/>
        </w:rPr>
        <w:t>政府采购情况</w:t>
      </w:r>
      <w:r>
        <w:rPr>
          <w:rFonts w:hint="eastAsia" w:ascii="楷体" w:hAnsi="楷体" w:eastAsia="楷体"/>
          <w:b/>
          <w:kern w:val="2"/>
          <w:sz w:val="30"/>
        </w:rPr>
        <w:t>。</w:t>
      </w:r>
    </w:p>
    <w:p>
      <w:pPr>
        <w:spacing w:line="560" w:lineRule="exact"/>
        <w:ind w:firstLine="645"/>
        <w:jc w:val="both"/>
        <w:rPr>
          <w:rFonts w:eastAsia="仿宋_GB2312"/>
          <w:kern w:val="2"/>
          <w:sz w:val="30"/>
          <w:szCs w:val="22"/>
          <w:lang w:val="zh-CN"/>
        </w:rPr>
      </w:pPr>
      <w:r>
        <w:rPr>
          <w:rFonts w:hint="eastAsia" w:eastAsia="仿宋_GB2312"/>
          <w:kern w:val="2"/>
          <w:sz w:val="30"/>
          <w:szCs w:val="22"/>
          <w:lang w:val="zh-CN"/>
        </w:rPr>
        <w:t>本单位2024年安排政府采购预算837.3万元，其中：政府采购货物支出60.8万元、政府采购工程支出333万元、政府采购服务支出443.5万元。主要项目是：校园安全服务项目142.5万元、物业管理（宿舍管理）服务项目111万元、物业管理（保洁维修）服务项目120万元、数据加工处理服务项目70万元、防水工程项目155万元、房屋修缮工程项目178万元。</w:t>
      </w:r>
    </w:p>
    <w:p>
      <w:pPr>
        <w:spacing w:line="600" w:lineRule="exact"/>
        <w:ind w:firstLine="602"/>
        <w:jc w:val="both"/>
        <w:rPr>
          <w:rFonts w:ascii="楷体_GB2312" w:hAnsi="楷体_GB2312" w:eastAsia="楷体_GB2312"/>
          <w:b/>
          <w:kern w:val="2"/>
          <w:sz w:val="30"/>
        </w:rPr>
      </w:pPr>
      <w:r>
        <w:rPr>
          <w:rFonts w:hint="eastAsia" w:ascii="楷体_GB2312" w:hAnsi="楷体_GB2312" w:eastAsia="楷体_GB2312"/>
          <w:b/>
          <w:kern w:val="2"/>
          <w:sz w:val="30"/>
        </w:rPr>
        <w:t>（三）国有资产占用情况</w:t>
      </w:r>
      <w:r>
        <w:rPr>
          <w:rFonts w:hint="eastAsia" w:ascii="楷体" w:hAnsi="楷体" w:eastAsia="楷体"/>
          <w:b/>
          <w:kern w:val="2"/>
          <w:sz w:val="30"/>
        </w:rPr>
        <w:t>。</w:t>
      </w:r>
    </w:p>
    <w:p>
      <w:pPr>
        <w:spacing w:line="560" w:lineRule="exact"/>
        <w:ind w:firstLine="645"/>
        <w:jc w:val="both"/>
        <w:rPr>
          <w:rFonts w:eastAsia="仿宋_GB2312"/>
          <w:kern w:val="2"/>
          <w:sz w:val="30"/>
          <w:szCs w:val="22"/>
          <w:lang w:val="zh-CN"/>
        </w:rPr>
      </w:pPr>
      <w:r>
        <w:rPr>
          <w:rFonts w:hint="eastAsia" w:eastAsia="仿宋_GB2312"/>
          <w:kern w:val="2"/>
          <w:sz w:val="30"/>
          <w:szCs w:val="22"/>
          <w:lang w:val="zh-CN"/>
        </w:rPr>
        <w:t>截至2023年7月底，本单位共有车辆0辆，其中：副部（省）级及以上领导用车0辆、主要负责人干部用车0辆、机要通信用车0辆、应急保障用车0辆、执法执勤用车0辆、特种专业技术用车0辆、离退休干部服务用车0辆、其他用车0辆，其他用车主要包括无。单价（账面原值）100万元以上的设备1台（套）。</w:t>
      </w:r>
    </w:p>
    <w:p>
      <w:pPr>
        <w:spacing w:line="600" w:lineRule="exact"/>
        <w:ind w:firstLine="602"/>
        <w:jc w:val="both"/>
        <w:rPr>
          <w:rFonts w:ascii="MS Serif" w:hAnsi="MS Serif" w:eastAsia="MS Serif"/>
          <w:b/>
          <w:kern w:val="2"/>
          <w:sz w:val="30"/>
        </w:rPr>
      </w:pPr>
      <w:r>
        <w:rPr>
          <w:rFonts w:hint="eastAsia" w:ascii="楷体_GB2312" w:hAnsi="楷体_GB2312" w:eastAsia="楷体_GB2312"/>
          <w:b/>
          <w:kern w:val="2"/>
          <w:sz w:val="30"/>
        </w:rPr>
        <w:t>（四）预算绩效情况说明。</w:t>
      </w:r>
    </w:p>
    <w:p>
      <w:pPr>
        <w:spacing w:line="560" w:lineRule="exact"/>
        <w:ind w:firstLine="645"/>
        <w:jc w:val="both"/>
        <w:rPr>
          <w:rFonts w:eastAsia="仿宋_GB2312"/>
          <w:kern w:val="2"/>
          <w:sz w:val="30"/>
          <w:szCs w:val="22"/>
          <w:lang w:val="zh-CN"/>
        </w:rPr>
      </w:pPr>
      <w:r>
        <w:rPr>
          <w:rFonts w:hint="eastAsia" w:eastAsia="仿宋_GB2312"/>
          <w:kern w:val="2"/>
          <w:sz w:val="30"/>
          <w:szCs w:val="22"/>
          <w:lang w:val="zh-CN"/>
        </w:rPr>
        <w:t>本单位2024年实行绩效目标管理的项目3个，涉及预算金额270.5万元。</w:t>
      </w: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ind w:firstLine="600"/>
        <w:jc w:val="center"/>
        <w:rPr>
          <w:rFonts w:ascii="黑体" w:hAnsi="黑体" w:eastAsia="黑体"/>
          <w:kern w:val="2"/>
          <w:sz w:val="30"/>
          <w:lang w:val="zh-CN"/>
        </w:rPr>
      </w:pPr>
    </w:p>
    <w:p>
      <w:pPr>
        <w:spacing w:line="580" w:lineRule="exact"/>
        <w:jc w:val="both"/>
        <w:rPr>
          <w:rFonts w:ascii="方正小标宋简体" w:hAnsi="方正小标宋简体" w:eastAsia="方正小标宋简体"/>
          <w:b/>
          <w:kern w:val="44"/>
          <w:sz w:val="44"/>
          <w:lang w:val="zh-CN"/>
        </w:rPr>
      </w:pPr>
      <w:r>
        <w:rPr>
          <w:rFonts w:hint="eastAsia" w:ascii="方正小标宋简体" w:hAnsi="方正小标宋简体" w:eastAsia="方正小标宋简体"/>
          <w:b/>
          <w:kern w:val="44"/>
          <w:sz w:val="44"/>
          <w:lang w:val="zh-CN"/>
        </w:rPr>
        <w:br w:type="page"/>
      </w:r>
    </w:p>
    <w:p>
      <w:pPr>
        <w:spacing w:line="580" w:lineRule="exact"/>
        <w:jc w:val="center"/>
        <w:rPr>
          <w:rFonts w:ascii="黑体" w:hAnsi="黑体" w:eastAsia="黑体"/>
          <w:b/>
          <w:kern w:val="2"/>
          <w:sz w:val="44"/>
        </w:rPr>
      </w:pPr>
      <w:r>
        <w:rPr>
          <w:rFonts w:hint="eastAsia" w:ascii="方正小标宋简体" w:hAnsi="方正小标宋简体" w:eastAsia="方正小标宋简体"/>
          <w:b/>
          <w:kern w:val="44"/>
          <w:sz w:val="44"/>
          <w:lang w:val="zh-CN"/>
        </w:rPr>
        <w:t>第三部分</w:t>
      </w:r>
      <w:r>
        <w:rPr>
          <w:rFonts w:hint="eastAsia" w:ascii="黑体" w:hAnsi="黑体" w:eastAsia="黑体"/>
          <w:b/>
          <w:kern w:val="2"/>
          <w:sz w:val="44"/>
        </w:rPr>
        <w:t xml:space="preserve">  </w:t>
      </w:r>
      <w:r>
        <w:rPr>
          <w:rFonts w:hint="eastAsia" w:ascii="方正小标宋简体" w:hAnsi="方正小标宋简体" w:eastAsia="方正小标宋简体"/>
          <w:b/>
          <w:kern w:val="44"/>
          <w:sz w:val="44"/>
        </w:rPr>
        <w:t>名词解释</w:t>
      </w:r>
    </w:p>
    <w:p>
      <w:pPr>
        <w:spacing w:line="600" w:lineRule="exact"/>
        <w:ind w:firstLine="600"/>
        <w:jc w:val="both"/>
        <w:rPr>
          <w:rFonts w:ascii="仿宋_GB2312" w:hAnsi="仿宋_GB2312" w:eastAsia="仿宋_GB2312"/>
          <w:kern w:val="2"/>
          <w:sz w:val="30"/>
        </w:rPr>
      </w:pPr>
    </w:p>
    <w:p>
      <w:pPr>
        <w:spacing w:line="580" w:lineRule="exact"/>
        <w:ind w:firstLine="600"/>
        <w:rPr>
          <w:rFonts w:ascii="仿宋_GB2312" w:hAnsi="仿宋_GB2312" w:eastAsia="仿宋_GB2312"/>
          <w:sz w:val="30"/>
        </w:rPr>
      </w:pPr>
      <w:r>
        <w:rPr>
          <w:rFonts w:hint="eastAsia" w:ascii="仿宋_GB2312" w:hAnsi="仿宋_GB2312" w:eastAsia="仿宋_GB2312"/>
          <w:sz w:val="30"/>
          <w:szCs w:val="22"/>
        </w:rPr>
        <w:t>1.</w:t>
      </w:r>
      <w:r>
        <w:rPr>
          <w:rFonts w:hint="eastAsia" w:ascii="仿宋_GB2312" w:hAnsi="仿宋_GB2312" w:eastAsia="仿宋_GB2312"/>
          <w:sz w:val="30"/>
        </w:rPr>
        <w:t>部门预算。是指主管预算部门依据相关法律、法规和政策规定及其行使职能需要，组织所属预算单位编制并逐级上报、审核、汇总，经财政部门审核后按程序依法批准的部门综合收支计划。</w:t>
      </w:r>
    </w:p>
    <w:p>
      <w:pPr>
        <w:spacing w:line="580" w:lineRule="exact"/>
        <w:ind w:firstLine="600"/>
        <w:rPr>
          <w:rFonts w:ascii="仿宋_GB2312" w:hAnsi="仿宋_GB2312" w:eastAsia="仿宋_GB2312"/>
          <w:sz w:val="30"/>
        </w:rPr>
      </w:pPr>
      <w:r>
        <w:rPr>
          <w:rFonts w:hint="eastAsia" w:ascii="仿宋_GB2312" w:hAnsi="仿宋_GB2312" w:eastAsia="仿宋_GB2312"/>
          <w:sz w:val="30"/>
        </w:rPr>
        <w:t>2.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00"/>
        <w:jc w:val="both"/>
        <w:rPr>
          <w:rFonts w:ascii="楷体_GB2312" w:hAnsi="楷体_GB2312" w:eastAsia="楷体_GB2312"/>
          <w:kern w:val="2"/>
          <w:sz w:val="30"/>
        </w:rPr>
      </w:pPr>
    </w:p>
    <w:p>
      <w:pPr>
        <w:spacing w:line="580" w:lineRule="exact"/>
        <w:ind w:firstLine="600"/>
        <w:jc w:val="both"/>
        <w:rPr>
          <w:rFonts w:ascii="楷体_GB2312" w:hAnsi="楷体_GB2312" w:eastAsia="楷体_GB2312"/>
          <w:kern w:val="2"/>
          <w:sz w:val="30"/>
        </w:rPr>
      </w:pPr>
    </w:p>
    <w:p>
      <w:pPr>
        <w:spacing w:line="580" w:lineRule="exact"/>
        <w:ind w:firstLine="600"/>
        <w:jc w:val="both"/>
        <w:rPr>
          <w:rFonts w:ascii="楷体_GB2312" w:hAnsi="楷体_GB2312" w:eastAsia="楷体_GB2312"/>
          <w:kern w:val="2"/>
          <w:sz w:val="30"/>
        </w:rPr>
      </w:pPr>
    </w:p>
    <w:p>
      <w:pPr>
        <w:spacing w:line="580" w:lineRule="exact"/>
        <w:ind w:firstLine="600"/>
        <w:jc w:val="both"/>
        <w:rPr>
          <w:rFonts w:ascii="楷体_GB2312" w:hAnsi="楷体_GB2312" w:eastAsia="楷体_GB2312"/>
          <w:kern w:val="2"/>
          <w:sz w:val="30"/>
        </w:rPr>
      </w:pPr>
    </w:p>
    <w:p>
      <w:pPr>
        <w:spacing w:line="580" w:lineRule="exact"/>
        <w:ind w:firstLine="600"/>
        <w:jc w:val="both"/>
        <w:rPr>
          <w:rFonts w:ascii="楷体_GB2312" w:hAnsi="楷体_GB2312" w:eastAsia="楷体_GB2312"/>
          <w:kern w:val="2"/>
          <w:sz w:val="30"/>
        </w:rPr>
      </w:pPr>
    </w:p>
    <w:p>
      <w:pPr>
        <w:spacing w:line="580" w:lineRule="exact"/>
        <w:ind w:firstLine="600"/>
        <w:jc w:val="both"/>
        <w:rPr>
          <w:rFonts w:ascii="楷体_GB2312" w:hAnsi="楷体_GB2312" w:eastAsia="楷体_GB2312"/>
          <w:kern w:val="2"/>
          <w:sz w:val="30"/>
        </w:rPr>
      </w:pPr>
    </w:p>
    <w:p>
      <w:pPr>
        <w:spacing w:line="580" w:lineRule="exact"/>
        <w:jc w:val="both"/>
        <w:rPr>
          <w:rFonts w:ascii="楷体_GB2312" w:hAnsi="楷体_GB2312" w:eastAsia="楷体_GB2312"/>
          <w:kern w:val="2"/>
          <w:sz w:val="30"/>
        </w:rPr>
      </w:pPr>
    </w:p>
    <w:p>
      <w:pPr>
        <w:spacing w:line="580" w:lineRule="exact"/>
        <w:ind w:firstLine="600"/>
        <w:jc w:val="both"/>
        <w:rPr>
          <w:rFonts w:ascii="MS Serif" w:hAnsi="MS Serif" w:eastAsia="MS Serif"/>
          <w:kern w:val="2"/>
          <w:sz w:val="30"/>
        </w:rPr>
      </w:pPr>
    </w:p>
    <w:p>
      <w:pPr>
        <w:spacing w:line="580" w:lineRule="exact"/>
        <w:ind w:firstLine="600"/>
        <w:jc w:val="both"/>
        <w:rPr>
          <w:rFonts w:ascii="MS Serif" w:hAnsi="MS Serif" w:eastAsia="MS Serif"/>
          <w:kern w:val="2"/>
          <w:sz w:val="30"/>
        </w:rPr>
      </w:pPr>
    </w:p>
    <w:p>
      <w:pPr>
        <w:spacing w:line="580" w:lineRule="exact"/>
        <w:ind w:firstLine="600"/>
        <w:jc w:val="both"/>
        <w:rPr>
          <w:rFonts w:ascii="MS Serif" w:hAnsi="MS Serif" w:eastAsia="MS Serif"/>
          <w:kern w:val="2"/>
          <w:sz w:val="30"/>
        </w:rPr>
      </w:pPr>
    </w:p>
    <w:p>
      <w:pPr>
        <w:spacing w:line="580" w:lineRule="exact"/>
        <w:ind w:firstLine="600"/>
        <w:jc w:val="both"/>
        <w:rPr>
          <w:rFonts w:ascii="MS Serif" w:hAnsi="MS Serif" w:eastAsia="MS Serif"/>
          <w:kern w:val="2"/>
          <w:sz w:val="30"/>
        </w:rPr>
      </w:pPr>
    </w:p>
    <w:p>
      <w:pPr>
        <w:spacing w:line="580" w:lineRule="exact"/>
        <w:ind w:firstLine="600"/>
        <w:jc w:val="both"/>
        <w:rPr>
          <w:rFonts w:ascii="MS Serif" w:hAnsi="MS Serif" w:eastAsia="MS Serif"/>
          <w:kern w:val="2"/>
          <w:sz w:val="30"/>
        </w:rPr>
      </w:pPr>
    </w:p>
    <w:p>
      <w:pPr>
        <w:spacing w:line="580" w:lineRule="exact"/>
        <w:ind w:firstLine="600"/>
        <w:jc w:val="both"/>
        <w:rPr>
          <w:rFonts w:ascii="MS Serif" w:hAnsi="MS Serif" w:eastAsia="MS Serif"/>
          <w:kern w:val="2"/>
          <w:sz w:val="30"/>
        </w:rPr>
      </w:pPr>
    </w:p>
    <w:p>
      <w:pPr>
        <w:spacing w:line="580" w:lineRule="exact"/>
        <w:jc w:val="center"/>
        <w:rPr>
          <w:rFonts w:ascii="方正小标宋简体" w:hAnsi="方正小标宋简体" w:eastAsia="方正小标宋简体"/>
          <w:b/>
          <w:kern w:val="44"/>
          <w:sz w:val="44"/>
        </w:rPr>
      </w:pPr>
      <w:r>
        <w:rPr>
          <w:rFonts w:hint="eastAsia" w:ascii="方正小标宋简体" w:hAnsi="方正小标宋简体" w:eastAsia="方正小标宋简体"/>
          <w:b/>
          <w:kern w:val="44"/>
          <w:sz w:val="44"/>
          <w:szCs w:val="22"/>
        </w:rPr>
        <w:t>第四部分</w:t>
      </w:r>
      <w:r>
        <w:rPr>
          <w:rFonts w:hint="eastAsia" w:ascii="方正小标宋简体" w:hAnsi="方正小标宋简体" w:eastAsia="方正小标宋简体"/>
          <w:b/>
          <w:kern w:val="44"/>
          <w:sz w:val="44"/>
        </w:rPr>
        <w:t xml:space="preserve">  2024年单位预算表</w:t>
      </w:r>
    </w:p>
    <w:p>
      <w:pPr>
        <w:spacing w:line="580" w:lineRule="exact"/>
        <w:jc w:val="both"/>
        <w:rPr>
          <w:rFonts w:ascii="方正小标宋简体" w:hAnsi="方正小标宋简体" w:eastAsia="方正小标宋简体"/>
          <w:b/>
          <w:kern w:val="44"/>
          <w:sz w:val="44"/>
        </w:rPr>
      </w:pP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一、《收支总体情况表》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二、《收入总体情况表》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三、《支出总体情况表》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四、《财政拨款收支总体情况表》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五、《一般公共预算支出情况表》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六、《一般公共预算基本支出情况表》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七、《一般公共预算“三公”经费支出情况表》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八、《政府性基金预算支出情况表》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九、《国有资本经营预算支出情况表》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十、《项目支出表》</w:t>
      </w:r>
    </w:p>
    <w:p>
      <w:pPr>
        <w:spacing w:line="560" w:lineRule="exact"/>
        <w:ind w:left="480"/>
        <w:jc w:val="both"/>
        <w:rPr>
          <w:rFonts w:ascii="楷体_GB2312" w:hAnsi="楷体_GB2312" w:eastAsia="楷体_GB2312"/>
          <w:b/>
          <w:kern w:val="2"/>
          <w:sz w:val="30"/>
        </w:rPr>
      </w:pPr>
      <w:r>
        <w:rPr>
          <w:rFonts w:hint="eastAsia" w:ascii="楷体_GB2312" w:hAnsi="楷体_GB2312" w:eastAsia="楷体_GB2312"/>
          <w:b/>
          <w:kern w:val="2"/>
          <w:sz w:val="30"/>
        </w:rPr>
        <w:t>十一、关于空表的说明</w:t>
      </w:r>
      <w:r>
        <w:rPr>
          <w:rFonts w:hint="eastAsia" w:ascii="楷体_GB2312" w:hAnsi="楷体_GB2312" w:eastAsia="楷体_GB2312"/>
          <w:b/>
          <w:kern w:val="2"/>
          <w:sz w:val="30"/>
        </w:rPr>
        <w:tab/>
      </w:r>
    </w:p>
    <w:p>
      <w:pPr>
        <w:spacing w:line="560" w:lineRule="exact"/>
        <w:ind w:firstLine="600"/>
        <w:rPr>
          <w:rFonts w:ascii="楷体_GB2312" w:hAnsi="楷体_GB2312" w:eastAsia="楷体_GB2312"/>
          <w:sz w:val="30"/>
        </w:rPr>
      </w:pPr>
      <w:r>
        <w:rPr>
          <w:rFonts w:hint="eastAsia" w:ascii="楷体_GB2312" w:hAnsi="楷体_GB2312" w:eastAsia="楷体_GB2312"/>
          <w:sz w:val="30"/>
        </w:rPr>
        <w:t>1.</w:t>
      </w:r>
      <w:r>
        <w:rPr>
          <w:rFonts w:hint="eastAsia" w:ascii="楷体_GB2312" w:hAnsi="楷体_GB2312" w:eastAsia="楷体_GB2312"/>
          <w:sz w:val="30"/>
          <w:lang w:val="zh-CN"/>
        </w:rPr>
        <w:t>天津工艺美术职业学院</w:t>
      </w:r>
      <w:r>
        <w:rPr>
          <w:rFonts w:eastAsia="楷体_GB2312"/>
          <w:sz w:val="30"/>
        </w:rPr>
        <w:t>2024</w:t>
      </w:r>
      <w:r>
        <w:rPr>
          <w:rFonts w:hint="eastAsia" w:ascii="楷体_GB2312" w:hAnsi="楷体_GB2312" w:eastAsia="楷体_GB2312"/>
          <w:sz w:val="30"/>
        </w:rPr>
        <w:t>年一般公共预算“三公”经费支出情况表为空表。</w:t>
      </w:r>
    </w:p>
    <w:p>
      <w:pPr>
        <w:spacing w:line="560" w:lineRule="exact"/>
        <w:ind w:firstLine="600"/>
        <w:rPr>
          <w:rFonts w:ascii="楷体_GB2312" w:hAnsi="楷体_GB2312" w:eastAsia="楷体_GB2312"/>
          <w:sz w:val="30"/>
        </w:rPr>
      </w:pPr>
      <w:r>
        <w:rPr>
          <w:rFonts w:hint="eastAsia" w:ascii="楷体_GB2312" w:hAnsi="楷体_GB2312" w:eastAsia="楷体_GB2312"/>
          <w:sz w:val="30"/>
        </w:rPr>
        <w:t>2.</w:t>
      </w:r>
      <w:r>
        <w:rPr>
          <w:rFonts w:hint="eastAsia" w:ascii="楷体_GB2312" w:hAnsi="楷体_GB2312" w:eastAsia="楷体_GB2312"/>
          <w:sz w:val="30"/>
          <w:lang w:val="zh-CN"/>
        </w:rPr>
        <w:t>天津工艺美术职业学院</w:t>
      </w:r>
      <w:r>
        <w:rPr>
          <w:rFonts w:eastAsia="楷体_GB2312"/>
          <w:sz w:val="30"/>
        </w:rPr>
        <w:t>2024</w:t>
      </w:r>
      <w:r>
        <w:rPr>
          <w:rFonts w:hint="eastAsia" w:ascii="楷体_GB2312" w:hAnsi="楷体_GB2312" w:eastAsia="楷体_GB2312"/>
          <w:sz w:val="30"/>
        </w:rPr>
        <w:t>年政府性基金预算支出情况表为空表。</w:t>
      </w:r>
    </w:p>
    <w:p>
      <w:pPr>
        <w:spacing w:line="560" w:lineRule="exact"/>
        <w:ind w:firstLine="600"/>
        <w:rPr>
          <w:rFonts w:ascii="楷体_GB2312" w:hAnsi="楷体_GB2312" w:eastAsia="楷体_GB2312"/>
          <w:sz w:val="30"/>
        </w:rPr>
      </w:pPr>
      <w:r>
        <w:rPr>
          <w:rFonts w:hint="eastAsia" w:ascii="楷体_GB2312" w:hAnsi="楷体_GB2312" w:eastAsia="楷体_GB2312"/>
          <w:sz w:val="30"/>
        </w:rPr>
        <w:t>3.</w:t>
      </w:r>
      <w:r>
        <w:rPr>
          <w:rFonts w:hint="eastAsia" w:ascii="楷体_GB2312" w:hAnsi="楷体_GB2312" w:eastAsia="楷体_GB2312"/>
          <w:sz w:val="30"/>
          <w:lang w:val="zh-CN"/>
        </w:rPr>
        <w:t>天津工艺美术职业学院</w:t>
      </w:r>
      <w:r>
        <w:rPr>
          <w:rFonts w:eastAsia="楷体_GB2312"/>
          <w:sz w:val="30"/>
        </w:rPr>
        <w:t>2024</w:t>
      </w:r>
      <w:r>
        <w:rPr>
          <w:rFonts w:hint="eastAsia" w:ascii="楷体_GB2312" w:hAnsi="楷体_GB2312" w:eastAsia="楷体_GB2312"/>
          <w:sz w:val="30"/>
        </w:rPr>
        <w:t>年国有资本经营预算支出情况表为空表。</w:t>
      </w:r>
    </w:p>
    <w:p>
      <w:pPr>
        <w:jc w:val="both"/>
        <w:rPr>
          <w:rFonts w:ascii="黑体" w:hAnsi="黑体" w:eastAsia="黑体"/>
          <w:kern w:val="2"/>
          <w:sz w:val="32"/>
          <w:lang w:val="zh-CN"/>
        </w:rPr>
      </w:pPr>
    </w:p>
    <w:p>
      <w:pPr>
        <w:jc w:val="both"/>
        <w:rPr>
          <w:rFonts w:eastAsia="Times New Roman"/>
          <w:kern w:val="2"/>
          <w:sz w:val="44"/>
          <w:lang w:val="zh-CN"/>
        </w:rPr>
      </w:pPr>
    </w:p>
    <w:p>
      <w:pPr>
        <w:jc w:val="both"/>
        <w:rPr>
          <w:rFonts w:ascii="Calibri" w:hAnsi="Calibri" w:eastAsia="Calibri"/>
          <w:kern w:val="2"/>
          <w:sz w:val="21"/>
          <w:lang w:val="zh-CN"/>
        </w:rPr>
      </w:pPr>
    </w:p>
    <w:p>
      <w:pPr>
        <w:rPr>
          <w:rFonts w:eastAsia="Times New Roman"/>
          <w:kern w:val="2"/>
          <w:sz w:val="44"/>
          <w:lang w:val="zh-CN"/>
        </w:rPr>
      </w:pPr>
    </w:p>
    <w:sectPr>
      <w:footerReference r:id="rId5"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erif">
    <w:altName w:val="DejaVu Math TeX Gyre"/>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鏂囨湰妗?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鏂囨湰妗?4"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X6GAUboBAABUAwAADgAAAAAAAAABACAAAAA0AQAAZHJz&#10;L2Uyb0RvYy54bWxQSwUGAAAAAAYABgBZAQAAY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3"/>
  <w:displayVerticalDrawingGridEvery w:val="3"/>
  <w:doNotUseMarginsForDrawingGridOrigin w:val="true"/>
  <w:drawingGridHorizontalOrigin w:val="1800"/>
  <w:drawingGridVerticalOrigin w:val="1440"/>
  <w:doNotShadeFormData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86F8A"/>
    <w:rsid w:val="001906F4"/>
    <w:rsid w:val="003B3790"/>
    <w:rsid w:val="003D0CC8"/>
    <w:rsid w:val="0057487B"/>
    <w:rsid w:val="00906247"/>
    <w:rsid w:val="00D61131"/>
    <w:rsid w:val="04BC03FD"/>
    <w:rsid w:val="07F61560"/>
    <w:rsid w:val="15FA2695"/>
    <w:rsid w:val="278217C6"/>
    <w:rsid w:val="28A136D6"/>
    <w:rsid w:val="2ADC4F05"/>
    <w:rsid w:val="33312B5E"/>
    <w:rsid w:val="33DD340B"/>
    <w:rsid w:val="35FF472A"/>
    <w:rsid w:val="3CC96DDB"/>
    <w:rsid w:val="40A94BB7"/>
    <w:rsid w:val="517772A4"/>
    <w:rsid w:val="569F223B"/>
    <w:rsid w:val="5BFB5BE8"/>
    <w:rsid w:val="5C6606DD"/>
    <w:rsid w:val="5DF54E01"/>
    <w:rsid w:val="5E8D1CD2"/>
    <w:rsid w:val="644B4AD5"/>
    <w:rsid w:val="65EA59CB"/>
    <w:rsid w:val="787C2B7D"/>
    <w:rsid w:val="EFFFC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ascii="Times New Roman" w:hAnsi="Times New Roman" w:eastAsia="宋体" w:cs="Times New Roman"/>
      <w:sz w:val="24"/>
      <w:lang w:val="en-US" w:eastAsia="zh-CN" w:bidi="ar-SA"/>
    </w:rPr>
  </w:style>
  <w:style w:type="paragraph" w:styleId="2">
    <w:name w:val="heading 1"/>
    <w:next w:val="1"/>
    <w:unhideWhenUsed/>
    <w:qFormat/>
    <w:uiPriority w:val="99"/>
    <w:pPr>
      <w:widowControl w:val="0"/>
      <w:autoSpaceDE w:val="0"/>
      <w:autoSpaceDN w:val="0"/>
      <w:adjustRightInd w:val="0"/>
      <w:outlineLvl w:val="0"/>
    </w:pPr>
    <w:rPr>
      <w:rFonts w:ascii="Times New Roman" w:hAnsi="Times New Roman" w:eastAsia="宋体" w:cs="Times New Roman"/>
      <w:sz w:val="24"/>
      <w:lang w:val="en-US" w:eastAsia="zh-CN" w:bidi="ar-SA"/>
    </w:rPr>
  </w:style>
  <w:style w:type="paragraph" w:styleId="3">
    <w:name w:val="heading 2"/>
    <w:next w:val="1"/>
    <w:unhideWhenUsed/>
    <w:qFormat/>
    <w:uiPriority w:val="99"/>
    <w:pPr>
      <w:widowControl w:val="0"/>
      <w:autoSpaceDE w:val="0"/>
      <w:autoSpaceDN w:val="0"/>
      <w:adjustRightInd w:val="0"/>
      <w:outlineLvl w:val="1"/>
    </w:pPr>
    <w:rPr>
      <w:rFonts w:ascii="Times New Roman" w:hAnsi="Times New Roman" w:eastAsia="宋体" w:cs="Times New Roman"/>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sz w:val="18"/>
    </w:rPr>
  </w:style>
  <w:style w:type="paragraph" w:styleId="5">
    <w:name w:val="header"/>
    <w:basedOn w:val="1"/>
    <w:unhideWhenUsed/>
    <w:qFormat/>
    <w:uiPriority w:val="99"/>
    <w:pP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632</Words>
  <Characters>3608</Characters>
  <Lines>30</Lines>
  <Paragraphs>8</Paragraphs>
  <TotalTime>19</TotalTime>
  <ScaleCrop>false</ScaleCrop>
  <LinksUpToDate>false</LinksUpToDate>
  <CharactersWithSpaces>4232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2024-02-28T04:00:00Z</dcterms:created>
  <dc:creator>Administrator</dc:creator>
  <cp:lastModifiedBy>kylin</cp:lastModifiedBy>
  <dcterms:modified xsi:type="dcterms:W3CDTF">2024-03-06T16:16:28Z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